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D51230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D51230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Pr="00D51230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29" type="#_x0000_t202" style="position:absolute;margin-left:165pt;margin-top:-73.95pt;width:291.75pt;height:49.25pt;z-index:251665408">
            <v:textbox>
              <w:txbxContent>
                <w:p w:rsidR="00EF081A" w:rsidRPr="003310DB" w:rsidRDefault="00D37575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Matemáticas Segundo</w:t>
                  </w:r>
                  <w:r w:rsidR="003310DB" w:rsidRPr="003310DB">
                    <w:rPr>
                      <w:b/>
                      <w:lang w:val="es-MX"/>
                    </w:rPr>
                    <w:t xml:space="preserve"> año Básico.</w:t>
                  </w:r>
                </w:p>
                <w:p w:rsidR="003310DB" w:rsidRPr="003310DB" w:rsidRDefault="00BB7343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Unidad 1</w:t>
                  </w:r>
                </w:p>
              </w:txbxContent>
            </v:textbox>
          </v:shape>
        </w:pict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EB787B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Números y operaciones.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EB787B" w:rsidRDefault="00750BF1" w:rsidP="0084381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Resolver problemas – representar- Argumentar y comunicar.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50BF1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Manifiesta </w:t>
            </w:r>
            <w:r w:rsidR="00CC5A60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un estilo de trabajo ordenado y metódico, expresa y escucha ideas de forma respetuosa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, </w:t>
            </w:r>
            <w:r w:rsidR="00B265EF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demuestra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 actitud de esfuerzo y perseverancia.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D51230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51230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82.15pt;z-index:251662336">
            <v:textbox style="mso-next-textbox:#_x0000_s1026">
              <w:txbxContent>
                <w:p w:rsidR="00E66E7B" w:rsidRPr="0022606C" w:rsidRDefault="003331E9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  <w:sz w:val="20"/>
                      <w:szCs w:val="20"/>
                    </w:rPr>
                  </w:pPr>
                  <w:r w:rsidRPr="003331E9">
                    <w:rPr>
                      <w:rFonts w:cs="ReplicaStd-Bold"/>
                      <w:b/>
                      <w:bCs/>
                      <w:sz w:val="20"/>
                      <w:szCs w:val="20"/>
                    </w:rPr>
                    <w:t>OA18 - Leer horas y medias horas en relojes digitales, en el contexto de la resolución de problemas.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D51230" w:rsidP="003C58ED">
      <w:pPr>
        <w:rPr>
          <w:b/>
          <w:sz w:val="24"/>
          <w:szCs w:val="24"/>
          <w:lang w:val="es-ES"/>
        </w:rPr>
      </w:pPr>
      <w:r w:rsidRPr="00D51230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6B0B4E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Reloj de cartón 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2D297D" w:rsidRDefault="003C58ED" w:rsidP="003C58ED">
      <w:pPr>
        <w:rPr>
          <w:b/>
          <w:sz w:val="24"/>
          <w:szCs w:val="24"/>
          <w:lang w:val="es-ES"/>
        </w:rPr>
      </w:pPr>
      <w:r w:rsidRPr="003C58ED">
        <w:rPr>
          <w:b/>
          <w:sz w:val="24"/>
          <w:szCs w:val="24"/>
          <w:lang w:val="es-ES"/>
        </w:rPr>
        <w:t>Referencia Bibliográfica o web</w:t>
      </w:r>
      <w:r>
        <w:rPr>
          <w:b/>
          <w:sz w:val="24"/>
          <w:szCs w:val="24"/>
          <w:lang w:val="es-ES"/>
        </w:rPr>
        <w:t xml:space="preserve"> –grafía:</w:t>
      </w:r>
    </w:p>
    <w:p w:rsidR="008734B2" w:rsidRDefault="003C58ED" w:rsidP="008734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A82300">
        <w:rPr>
          <w:b/>
          <w:sz w:val="24"/>
          <w:szCs w:val="24"/>
          <w:lang w:val="es-ES"/>
        </w:rPr>
        <w:t>Marco teórico</w:t>
      </w: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460AFF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4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043"/>
        <w:gridCol w:w="992"/>
        <w:gridCol w:w="1904"/>
        <w:gridCol w:w="5482"/>
        <w:gridCol w:w="1752"/>
        <w:gridCol w:w="1252"/>
        <w:gridCol w:w="1828"/>
      </w:tblGrid>
      <w:tr w:rsidR="00DA1152" w:rsidTr="009A0C42">
        <w:trPr>
          <w:trHeight w:val="70"/>
          <w:jc w:val="center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9A0C42">
        <w:trPr>
          <w:jc w:val="center"/>
        </w:trPr>
        <w:tc>
          <w:tcPr>
            <w:tcW w:w="2043" w:type="dxa"/>
            <w:shd w:val="clear" w:color="auto" w:fill="FFFFFF" w:themeFill="background1"/>
          </w:tcPr>
          <w:p w:rsidR="0001366F" w:rsidRPr="0001366F" w:rsidRDefault="0001366F" w:rsidP="0001366F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01366F">
              <w:rPr>
                <w:rFonts w:cs="Bliss-Regular"/>
                <w:sz w:val="20"/>
                <w:szCs w:val="20"/>
              </w:rPr>
              <w:t>Asocian eventos cotidianos con horas y medias horas determinadas. (Ejemplo: llegamos a clases a las 8:00 horas). Leen horas y</w:t>
            </w:r>
          </w:p>
          <w:p w:rsidR="0001366F" w:rsidRPr="0001366F" w:rsidRDefault="0001366F" w:rsidP="0001366F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01366F">
              <w:rPr>
                <w:rFonts w:cs="Bliss-Regular"/>
                <w:sz w:val="20"/>
                <w:szCs w:val="20"/>
              </w:rPr>
              <w:t>medias horas en relojes digitales en contextos de la resolución de problemas Resuelven problemas cotidianos usando estrategias</w:t>
            </w:r>
          </w:p>
          <w:p w:rsidR="001C6458" w:rsidRPr="001C6458" w:rsidRDefault="0001366F" w:rsidP="0001366F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01366F">
              <w:rPr>
                <w:rFonts w:cs="Bliss-Regular"/>
                <w:sz w:val="20"/>
                <w:szCs w:val="20"/>
              </w:rPr>
              <w:t>de solución que incluyen una hora o media hora.</w:t>
            </w:r>
          </w:p>
        </w:tc>
        <w:tc>
          <w:tcPr>
            <w:tcW w:w="992" w:type="dxa"/>
            <w:shd w:val="clear" w:color="auto" w:fill="FFFFFF" w:themeFill="background1"/>
          </w:tcPr>
          <w:p w:rsidR="005D414A" w:rsidRPr="001C6458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55 </w:t>
            </w:r>
            <w:r w:rsidR="003616B2" w:rsidRPr="001C6458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904" w:type="dxa"/>
            <w:shd w:val="clear" w:color="auto" w:fill="FFFFFF" w:themeFill="background1"/>
          </w:tcPr>
          <w:p w:rsidR="009A0C42" w:rsidRPr="009A0C42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color w:val="292829"/>
                <w:sz w:val="20"/>
                <w:szCs w:val="20"/>
              </w:rPr>
              <w:t>- Traducir acciones, situaciones y representaciones pictóricas a expresiones matemáticas.</w:t>
            </w:r>
          </w:p>
          <w:p w:rsidR="005D414A" w:rsidRPr="001C6458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b/>
                <w:bCs/>
                <w:color w:val="292829"/>
                <w:sz w:val="20"/>
                <w:szCs w:val="20"/>
              </w:rPr>
              <w:t>-</w:t>
            </w:r>
            <w:r w:rsidRPr="009A0C42">
              <w:rPr>
                <w:rFonts w:cs="Dignathin"/>
                <w:color w:val="292829"/>
                <w:sz w:val="20"/>
                <w:szCs w:val="20"/>
              </w:rPr>
              <w:t>- Comprobar enunciando usando material concreto y gráfico.</w:t>
            </w:r>
          </w:p>
        </w:tc>
        <w:tc>
          <w:tcPr>
            <w:tcW w:w="5482" w:type="dxa"/>
            <w:shd w:val="clear" w:color="auto" w:fill="FFFFFF" w:themeFill="background1"/>
          </w:tcPr>
          <w:p w:rsidR="005025F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 </w:t>
            </w:r>
            <w:r w:rsidR="005025FD" w:rsidRPr="001C6458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A77AB4" w:rsidRPr="00A77AB4" w:rsidRDefault="00DA22F6" w:rsidP="00DA22F6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DA22F6">
              <w:rPr>
                <w:rFonts w:cs="gobCL-Bold"/>
                <w:bCs/>
                <w:sz w:val="20"/>
                <w:szCs w:val="20"/>
              </w:rPr>
              <w:t>Docente refuerza contenidos vistos clase anterior. Indica objetivo de la clase que es representar horas y medias horas en relojes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DA22F6">
              <w:rPr>
                <w:rFonts w:cs="gobCL-Bold"/>
                <w:bCs/>
                <w:sz w:val="20"/>
                <w:szCs w:val="20"/>
              </w:rPr>
              <w:t>digitales. El docente pregunta: ¿cuántas horas están en el colegio?, ¿cómo lo calcularon?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DA22F6">
              <w:rPr>
                <w:rFonts w:cs="gobCL-Bold"/>
                <w:bCs/>
                <w:sz w:val="20"/>
                <w:szCs w:val="20"/>
              </w:rPr>
              <w:t>¿Cuántas horas dura la clase de matemática de hoy? Comparten y comparan sus respuestas</w:t>
            </w:r>
          </w:p>
          <w:p w:rsidR="005F5365" w:rsidRPr="001C6458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DA22F6" w:rsidRPr="00DA22F6" w:rsidRDefault="00A77AB4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7AB4">
              <w:rPr>
                <w:rFonts w:cs="MyriadPro-Regular"/>
                <w:sz w:val="20"/>
                <w:szCs w:val="20"/>
              </w:rPr>
              <w:t xml:space="preserve"> </w:t>
            </w:r>
            <w:r w:rsidR="00DA22F6" w:rsidRPr="00DA22F6">
              <w:rPr>
                <w:rFonts w:cs="MyriadPro-Regular"/>
                <w:sz w:val="20"/>
                <w:szCs w:val="20"/>
              </w:rPr>
              <w:t>El docente solicita a los estudiantes que pongan sobre su banco el reloj de cartón que confeccionaron, junto a su apoderado, en</w:t>
            </w:r>
            <w:r w:rsidR="00DA22F6">
              <w:rPr>
                <w:rFonts w:cs="MyriadPro-Regular"/>
                <w:sz w:val="20"/>
                <w:szCs w:val="20"/>
              </w:rPr>
              <w:t xml:space="preserve"> </w:t>
            </w:r>
            <w:r w:rsidR="00DA22F6" w:rsidRPr="00DA22F6">
              <w:rPr>
                <w:rFonts w:cs="MyriadPro-Regular"/>
                <w:sz w:val="20"/>
                <w:szCs w:val="20"/>
              </w:rPr>
              <w:t>sus casas. El docente expresa oralmente una hora exacta o una hora con media hora, y los estudiantes las representan en sus</w:t>
            </w:r>
            <w:r w:rsidR="00DA22F6">
              <w:rPr>
                <w:rFonts w:cs="MyriadPro-Regular"/>
                <w:sz w:val="20"/>
                <w:szCs w:val="20"/>
              </w:rPr>
              <w:t xml:space="preserve"> </w:t>
            </w:r>
            <w:r w:rsidR="00DA22F6" w:rsidRPr="00DA22F6">
              <w:rPr>
                <w:rFonts w:cs="MyriadPro-Regular"/>
                <w:sz w:val="20"/>
                <w:szCs w:val="20"/>
              </w:rPr>
              <w:t>relojes. Luego, los estudiantes levantan su reloj para que el docente revise si está bien la representación que hicieron en su reloj</w:t>
            </w:r>
            <w:r w:rsidR="00DA22F6">
              <w:rPr>
                <w:rFonts w:cs="MyriadPro-Regular"/>
                <w:sz w:val="20"/>
                <w:szCs w:val="20"/>
              </w:rPr>
              <w:t xml:space="preserve"> </w:t>
            </w:r>
            <w:r w:rsidR="00DA22F6" w:rsidRPr="00DA22F6">
              <w:rPr>
                <w:rFonts w:cs="MyriadPro-Regular"/>
                <w:sz w:val="20"/>
                <w:szCs w:val="20"/>
              </w:rPr>
              <w:t>de cartón.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En parejas, uno de los estudiantes anota una hora en su reloj de cartón y su compañero de banco debe leerla correctamente. Se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intercambian los roles.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En parejas, cada estudiante anota una hora en su reloj. Determinan cuál de ellas es más temprana y cuál es más tarde. Luego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calculan cuántas horas han transcurrido de una de las horas marcadas a la otra.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Recuerdan actividades que hacen cuando el reloj marca, por ejemplo, las 6:30 hrs de la tarde.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Resuelven problemas que involucran cálculos de tiempos. Por ejemplo: a) Si salgo de mi casa a las 9:00 horas y me demoro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 xml:space="preserve">media hora en llegar al estadio para practicar los 100 metros planos, ¿a qué hora llego al estadio? b) Ahora, si me demoré </w:t>
            </w:r>
            <w:r w:rsidRPr="00DA22F6">
              <w:rPr>
                <w:rFonts w:cs="MyriadPro-Regular"/>
                <w:sz w:val="20"/>
                <w:szCs w:val="20"/>
              </w:rPr>
              <w:lastRenderedPageBreak/>
              <w:t>media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hora en cambiarme y hacer elongaciones para estar en condiciones para el entrenamiento, ¿a qué hora termino el entrenamiento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si entreno 1 hora?</w:t>
            </w:r>
          </w:p>
          <w:p w:rsidR="00DA22F6" w:rsidRPr="00DA22F6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 xml:space="preserve">Se entrega ficha </w:t>
            </w:r>
            <w:r>
              <w:rPr>
                <w:rFonts w:cs="MyriadPro-Regular"/>
                <w:sz w:val="20"/>
                <w:szCs w:val="20"/>
              </w:rPr>
              <w:t>de actividades</w:t>
            </w:r>
            <w:r w:rsidRPr="00DA22F6">
              <w:rPr>
                <w:rFonts w:cs="MyriadPro-Regular"/>
                <w:sz w:val="20"/>
                <w:szCs w:val="20"/>
              </w:rPr>
              <w:t xml:space="preserve"> para que los estudiantes desarrollen en la clase. El docente supervisa el trabajo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y responde consultas. Una vez finalizada, se realiza la revisión de los ejercicios de la ficha en la pizarra, por parte de los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estudiantes.</w:t>
            </w:r>
          </w:p>
          <w:p w:rsidR="00826F17" w:rsidRPr="00A77AB4" w:rsidRDefault="00DA22F6" w:rsidP="00DA22F6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Se desarrollan actividades del texto del estudiante</w:t>
            </w:r>
          </w:p>
          <w:p w:rsidR="00825A2B" w:rsidRPr="001C6458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1C6458">
              <w:rPr>
                <w:b/>
                <w:sz w:val="20"/>
                <w:szCs w:val="20"/>
                <w:lang w:val="es-ES"/>
              </w:rPr>
              <w:t>CIERRE</w:t>
            </w:r>
          </w:p>
          <w:p w:rsidR="00BE74E9" w:rsidRPr="001C6458" w:rsidRDefault="00DA22F6" w:rsidP="00DA22F6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DA22F6">
              <w:rPr>
                <w:rFonts w:cs="MyriadPro-Regular"/>
                <w:sz w:val="20"/>
                <w:szCs w:val="20"/>
              </w:rPr>
              <w:t>Docente invita a reflexionar sobre la importancia de de saber la hora para poder organizarse. Estudiantes dan argumentos de la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DA22F6">
              <w:rPr>
                <w:rFonts w:cs="MyriadPro-Regular"/>
                <w:sz w:val="20"/>
                <w:szCs w:val="20"/>
              </w:rPr>
              <w:t>importancia de saber ver la hora ¿Qué puede pasar si no sabemos ver la hora? Estudiantes dan ejemplos.</w:t>
            </w:r>
          </w:p>
        </w:tc>
        <w:tc>
          <w:tcPr>
            <w:tcW w:w="1752" w:type="dxa"/>
            <w:shd w:val="clear" w:color="auto" w:fill="FFFFFF" w:themeFill="background1"/>
          </w:tcPr>
          <w:p w:rsidR="00A77AB4" w:rsidRDefault="00A77AB4" w:rsidP="0001366F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- </w:t>
            </w:r>
            <w:r w:rsidR="0001366F">
              <w:rPr>
                <w:sz w:val="20"/>
                <w:szCs w:val="20"/>
                <w:lang w:val="es-ES"/>
              </w:rPr>
              <w:t>reloj de cartón</w:t>
            </w:r>
          </w:p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Cuadernos</w:t>
            </w:r>
          </w:p>
          <w:p w:rsidR="0001366F" w:rsidRDefault="0001366F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-Lápices</w:t>
            </w:r>
          </w:p>
          <w:p w:rsidR="00A77AB4" w:rsidRP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-Libros escolares.</w:t>
            </w:r>
          </w:p>
        </w:tc>
        <w:tc>
          <w:tcPr>
            <w:tcW w:w="1252" w:type="dxa"/>
            <w:shd w:val="clear" w:color="auto" w:fill="FFFFFF" w:themeFill="background1"/>
          </w:tcPr>
          <w:p w:rsidR="005D414A" w:rsidRPr="001C6458" w:rsidRDefault="0035023B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Escala de apreciación </w:t>
            </w:r>
          </w:p>
        </w:tc>
        <w:tc>
          <w:tcPr>
            <w:tcW w:w="1828" w:type="dxa"/>
            <w:shd w:val="clear" w:color="auto" w:fill="FFFFFF" w:themeFill="background1"/>
          </w:tcPr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Logra realizar todas</w:t>
            </w:r>
            <w:r w:rsidR="00B25E44" w:rsidRPr="001C6458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1C6458">
              <w:rPr>
                <w:sz w:val="20"/>
                <w:szCs w:val="20"/>
                <w:lang w:val="es-ES"/>
              </w:rPr>
              <w:t>estimado.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2C" w:rsidRDefault="00F8362C" w:rsidP="003C58ED">
      <w:pPr>
        <w:spacing w:after="0" w:line="240" w:lineRule="auto"/>
      </w:pPr>
      <w:r>
        <w:separator/>
      </w:r>
    </w:p>
  </w:endnote>
  <w:endnote w:type="continuationSeparator" w:id="1">
    <w:p w:rsidR="00F8362C" w:rsidRDefault="00F8362C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2C" w:rsidRDefault="00F8362C" w:rsidP="003C58ED">
      <w:pPr>
        <w:spacing w:after="0" w:line="240" w:lineRule="auto"/>
      </w:pPr>
      <w:r>
        <w:separator/>
      </w:r>
    </w:p>
  </w:footnote>
  <w:footnote w:type="continuationSeparator" w:id="1">
    <w:p w:rsidR="00F8362C" w:rsidRDefault="00F8362C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1366F"/>
    <w:rsid w:val="0003651E"/>
    <w:rsid w:val="0006213F"/>
    <w:rsid w:val="0008231B"/>
    <w:rsid w:val="000916C4"/>
    <w:rsid w:val="00092874"/>
    <w:rsid w:val="000A5E40"/>
    <w:rsid w:val="000B5BF9"/>
    <w:rsid w:val="000C18CB"/>
    <w:rsid w:val="00106893"/>
    <w:rsid w:val="001308EE"/>
    <w:rsid w:val="00194493"/>
    <w:rsid w:val="001C1C5D"/>
    <w:rsid w:val="001C6458"/>
    <w:rsid w:val="001D1785"/>
    <w:rsid w:val="001D57F2"/>
    <w:rsid w:val="001F541B"/>
    <w:rsid w:val="00200DF4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1E9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60AFF"/>
    <w:rsid w:val="00493BEA"/>
    <w:rsid w:val="00493E0E"/>
    <w:rsid w:val="004A7FB0"/>
    <w:rsid w:val="004C4686"/>
    <w:rsid w:val="004C5745"/>
    <w:rsid w:val="004C6BBC"/>
    <w:rsid w:val="004D4647"/>
    <w:rsid w:val="005025FD"/>
    <w:rsid w:val="00503F57"/>
    <w:rsid w:val="00552CDB"/>
    <w:rsid w:val="005637CA"/>
    <w:rsid w:val="00586288"/>
    <w:rsid w:val="00586FBA"/>
    <w:rsid w:val="005C19D8"/>
    <w:rsid w:val="005C2B1B"/>
    <w:rsid w:val="005D414A"/>
    <w:rsid w:val="005F5365"/>
    <w:rsid w:val="005F70BF"/>
    <w:rsid w:val="006257EC"/>
    <w:rsid w:val="0064151E"/>
    <w:rsid w:val="006A06E8"/>
    <w:rsid w:val="006B0B4E"/>
    <w:rsid w:val="006B7B76"/>
    <w:rsid w:val="006C239E"/>
    <w:rsid w:val="00750BF1"/>
    <w:rsid w:val="00751543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701B"/>
    <w:rsid w:val="008734B2"/>
    <w:rsid w:val="0087662C"/>
    <w:rsid w:val="008B1B6D"/>
    <w:rsid w:val="008F5E84"/>
    <w:rsid w:val="009339DC"/>
    <w:rsid w:val="00942F45"/>
    <w:rsid w:val="00954DCE"/>
    <w:rsid w:val="00972BBC"/>
    <w:rsid w:val="009A0C42"/>
    <w:rsid w:val="009C363D"/>
    <w:rsid w:val="009D201F"/>
    <w:rsid w:val="009D61CA"/>
    <w:rsid w:val="009F03BC"/>
    <w:rsid w:val="00A03AF9"/>
    <w:rsid w:val="00A24113"/>
    <w:rsid w:val="00A62B9A"/>
    <w:rsid w:val="00A72AFB"/>
    <w:rsid w:val="00A77AB4"/>
    <w:rsid w:val="00A82300"/>
    <w:rsid w:val="00AA2D1F"/>
    <w:rsid w:val="00AB7D34"/>
    <w:rsid w:val="00AC0418"/>
    <w:rsid w:val="00AC1692"/>
    <w:rsid w:val="00B25E44"/>
    <w:rsid w:val="00B265EF"/>
    <w:rsid w:val="00B57D34"/>
    <w:rsid w:val="00B96F01"/>
    <w:rsid w:val="00BB38B4"/>
    <w:rsid w:val="00BB7343"/>
    <w:rsid w:val="00BE54B7"/>
    <w:rsid w:val="00BE74E9"/>
    <w:rsid w:val="00C43417"/>
    <w:rsid w:val="00C44725"/>
    <w:rsid w:val="00C44F30"/>
    <w:rsid w:val="00C56E32"/>
    <w:rsid w:val="00C67FAE"/>
    <w:rsid w:val="00C70D3C"/>
    <w:rsid w:val="00C80332"/>
    <w:rsid w:val="00C93022"/>
    <w:rsid w:val="00CB58A3"/>
    <w:rsid w:val="00CC1988"/>
    <w:rsid w:val="00CC5A60"/>
    <w:rsid w:val="00D27182"/>
    <w:rsid w:val="00D37575"/>
    <w:rsid w:val="00D50516"/>
    <w:rsid w:val="00D51230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A22F6"/>
    <w:rsid w:val="00DD67AA"/>
    <w:rsid w:val="00DF0912"/>
    <w:rsid w:val="00E4483A"/>
    <w:rsid w:val="00E61824"/>
    <w:rsid w:val="00E66E7B"/>
    <w:rsid w:val="00E73F36"/>
    <w:rsid w:val="00EB787B"/>
    <w:rsid w:val="00EF081A"/>
    <w:rsid w:val="00F11091"/>
    <w:rsid w:val="00F113EE"/>
    <w:rsid w:val="00F150BF"/>
    <w:rsid w:val="00F35B9D"/>
    <w:rsid w:val="00F400B2"/>
    <w:rsid w:val="00F8362C"/>
    <w:rsid w:val="00FC3ED9"/>
    <w:rsid w:val="00FE022D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87</cp:revision>
  <dcterms:created xsi:type="dcterms:W3CDTF">2013-10-25T20:15:00Z</dcterms:created>
  <dcterms:modified xsi:type="dcterms:W3CDTF">2015-12-02T18:23:00Z</dcterms:modified>
</cp:coreProperties>
</file>